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BayBhV (Bayern) — Arznei-, Verbandmittel und vergleichbare Medizinprodukte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Beihilfefähig sind die aus Anlass einer Krankheit bei ärztlichen und zahnärztlichen Leistungen oder Heilpraktikerleistungen nach §§ 8 bis 17 verbrauchten oder nach Art und Umfang in Textform verordneten</w:t>
      </w:r>
    </w:p>
    <w:p>
      <w:r>
        <w:t xml:space="preserve">1. apothekenpflichtige Arzneimittel nach § 2 des Arzneimittelgesetzes,</w:t>
      </w:r>
    </w:p>
    <w:p>
      <w:r>
        <w:t xml:space="preserve">2. Verbandmittel,</w:t>
      </w:r>
    </w:p>
    <w:p>
      <w:r>
        <w:t xml:space="preserve">3. Harn- und Blutteststreifen sowie</w:t>
      </w:r>
    </w:p>
    <w:p>
      <w:r>
        <w:t xml:space="preserve">4. Stoffe und Zubereitungen aus Stoffen, die als Medizinprodukte nach § 3 Nr. 1 bis 3 des Medizinproduktegesetzes in der am 25. Mai 2021 geltenden Fassung zur Anwendung am oder im menschlichen Körper bestimmt sind.</w:t>
      </w:r>
    </w:p>
    <w:p>
      <w:r>
        <w:t xml:space="preserve">Aufwendungen für ärztlich verordnete hormonelle Kontrazeptiva und eingesetzte Intrauterinpessare sind nur unter folgenden Voraussetzungen beihilfefähig:</w:t>
      </w:r>
    </w:p>
    <w:p>
      <w:r>
        <w:t xml:space="preserve">1. bei Personen bis zur Vollendung des 22. Lebensjahres,</w:t>
      </w:r>
    </w:p>
    <w:p>
      <w:r>
        <w:t xml:space="preserve">2. wenn diese Mittel zur Behandlung eines Krankheitszustands verordnet werden oder</w:t>
      </w:r>
    </w:p>
    <w:p>
      <w:r>
        <w:t xml:space="preserve">3. für nicht verschreibungspflichtige Notfallkontrazeptiva, soweit sie ärztlich verordnet wurden und Hinweise auf einen sexuellen Missbrauch oder eine Vergewaltigung vorliegen.</w:t>
      </w:r>
    </w:p>
    <w:p>
      <w:r>
        <w:t xml:space="preserve">Nicht beihilfefähig sind Aufwendungen</w:t>
      </w:r>
    </w:p>
    <w:p>
      <w:r>
        <w:t xml:space="preserve">1. für Mittel, die überwiegend zur Behandlung der erektilen Dysfunktion, zur Rauchentwöhnung, zur Abmagerung oder zur Zügelung des Appetits, zur Regulierung des Körpergewichts oder zur Verbesserung des Haarwuchses dienen,</w:t>
      </w:r>
    </w:p>
    <w:p>
      <w:r>
        <w:t xml:space="preserve">2. für Mittel, die geeignet sind, Güter des täglichen Bedarfs zu ersetzen,</w:t>
      </w:r>
    </w:p>
    <w:p>
      <w:r>
        <w:t xml:space="preserve">3. Vitaminpräparate, die keine Fertigarzneimittel im Sinn des Arzneimittelgesetzes darstellen,</w:t>
      </w:r>
    </w:p>
    <w:p>
      <w:r>
        <w:t xml:space="preserve">4. Geriatrika und Roborantia.</w:t>
      </w:r>
    </w:p>
    <w:p>
      <w:r>
        <w:rPr>
          <w:color w:val="555555"/>
          <w:sz w:val="17"/>
        </w:rPr>
        <w:t xml:space="preserve">Zitiervorschlag: § 18 BayBhV (Bayern)</w:t>
      </w:r>
    </w:p>
    <w:p>
      <w:r>
        <w:rPr>
          <w:color w:val="555555"/>
          <w:sz w:val="17"/>
        </w:rPr>
        <w:t xml:space="preserve">Quelle: bayernrecht, abgerufen 01.09.2026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