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BayBhV (Bayern) — Funktionsanalytische und funktionstherapeutische Leistungen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Aufwendungen für funktionsanalytische und funktionstherapeutische Leistungen sind nur beihilfefähig bei Vorliegen mindestens einer der folgenden Indikationen:</w:t>
      </w:r>
    </w:p>
    <w:p>
      <w:r>
        <w:t xml:space="preserve">1. Kiefergelenks- und Muskelerkrankungen (Myoarthropathien, craniomandibuläre Dysfunktionen, myofasciales Schmerzsyndrom),</w:t>
      </w:r>
    </w:p>
    <w:p>
      <w:r>
        <w:t xml:space="preserve">2. im Zusammenhang mit der Behandlung von Zahnfleischerkrankungen (Parodonthopathien),</w:t>
      </w:r>
    </w:p>
    <w:p>
      <w:r>
        <w:t xml:space="preserve">3. umfangreiche Gebisssanierungen,</w:t>
      </w:r>
    </w:p>
    <w:p>
      <w:r>
        <w:t xml:space="preserve">4. umfangreiche kieferorthopädische Maßnahmen (einschließlich kieferorthopädisch-kieferchirurgischer Operationen),</w:t>
      </w:r>
    </w:p>
    <w:p>
      <w:r>
        <w:t xml:space="preserve">5. im Zusammenhang mit der Behandlung von Aufbissschienen mit adjustierten Oberflächen nach Anlage 1 Nr. 7010 und 7020.</w:t>
      </w:r>
    </w:p>
    <w:p>
      <w:r>
        <w:t xml:space="preserve">Eine umfangreiche Gebisssanierung liegt nur vor, wenn insgesamt mindestens acht Seitenzähne mit Inlays oder Kronen sanierungsbedürftig sind oder fehlen. Außerdem ist der erhobene Befund in geeigneter Form nachzuweisen.</w:t>
      </w:r>
    </w:p>
    <w:p>
      <w:r>
        <w:rPr>
          <w:color w:val="555555"/>
          <w:sz w:val="17"/>
        </w:rPr>
        <w:t xml:space="preserve">Zitiervorschlag: § 16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