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BayBhV (Bayern) — Kieferorthopädische Leistungen</w:t>
      </w:r>
    </w:p>
    <w:p>
      <w:r>
        <w:rPr>
          <w:color w:val="555555"/>
          <w:sz w:val="18"/>
        </w:rPr>
        <w:t xml:space="preserve">Bayerische Beihilfeverordnung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Aufwendungen für kieferorthopädische Leistungen sind nur beihilfefähig, wenn vor Behandlungsbeginn</w:t>
      </w:r>
    </w:p>
    <w:p>
      <w:r>
        <w:t xml:space="preserve">1. ein Heil- und Kostenplan vorgelegt wird und</w:t>
      </w:r>
    </w:p>
    <w:p>
      <w:r>
        <w:t xml:space="preserve">2. die behandelte Person das 18. Lebensjahr noch nicht vollendet hat.</w:t>
      </w:r>
    </w:p>
    <w:p>
      <w:r>
        <w:t xml:space="preserve">Die Altersbegrenzung nach Satz 1 Nr. 2 gilt nicht bei schweren Kieferanomalien,</w:t>
      </w:r>
    </w:p>
    <w:p>
      <w:r>
        <w:t xml:space="preserve">1. die eine kombinierte kieferchirurgische und kieferorthopädische Behandlung erfordern, sowie</w:t>
      </w:r>
    </w:p>
    <w:p>
      <w:r>
        <w:t xml:space="preserve">2. in besonderen Ausnahmefällen, wenn nach einem zahnärztlichen Gutachten (§ 48 Abs. 7) eine alleinige kieferorthopädische Behandlung medizinisch ausreichend ist.</w:t>
      </w:r>
    </w:p>
    <w:p>
      <w:r>
        <w:rPr>
          <w:color w:val="555555"/>
          <w:sz w:val="17"/>
        </w:rPr>
        <w:t xml:space="preserve">Zitiervorschlag: § 15 BayBhV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https://recht.nulegal.eu/gesetze/BayBhV/15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