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BayBhV (Bayern) — Anwendungsbereich, Zweckbestimmung und Rechtsnatur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regelt die Gewährung von Beihilfen in Krankheits-, Pflege- und Geburtsfällen, bei Maßnahmen zur Früherkennung von Krankheiten, bei Schutzimpfungen und sonstigen Fällen. Die Beihilfen ergänzen in diesen Fällen die Eigenvorsorge, die aus den laufenden Bezügen zu bestreiten ist.</w:t>
      </w:r>
    </w:p>
    <w:p>
      <w:r>
        <w:t xml:space="preserve">(2) Auf die Beihilfe besteht ein Rechtsanspruch. Der Anspruch kann nicht abgetreten, verpfändet oder gepfändet werden; jedoch ist die Pfändung durch einen Forderungsgläubiger bezüglich des für seine Forderung zustehenden und noch nicht ausgezahlten Betrags einer Beihilfe zulässig.</w:t>
      </w:r>
    </w:p>
    <w:p>
      <w:r>
        <w:rPr>
          <w:color w:val="555555"/>
          <w:sz w:val="17"/>
        </w:rPr>
        <w:t xml:space="preserve">Zitiervorschlag: § 1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