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BayBewAV (Bayern)</w:t>
      </w:r>
    </w:p>
    <w:p>
      <w:r>
        <w:rPr>
          <w:color w:val="555555"/>
          <w:sz w:val="18"/>
        </w:rPr>
        <w:t xml:space="preserve">Verordnung zur Ausführung des Bewertungsgesetzes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4. Februar 1992</w:t>
      </w:r>
    </w:p>
    <w:p>
      <w:r>
        <w:t xml:space="preserve">Der Bayerische Ministerpräsident</w:t>
      </w:r>
    </w:p>
    <w:p>
      <w:r>
        <w:t xml:space="preserve">Dr. h. c. Max Streibl</w:t>
      </w:r>
    </w:p>
    <w:p>
      <w:r>
        <w:rPr>
          <w:color w:val="555555"/>
          <w:sz w:val="17"/>
        </w:rPr>
        <w:t xml:space="preserve">Zitiervorschlag: Schlussformel BayBewAV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https://recht.nulegal.eu/gesetze/BayBewAV/schlussformel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