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BayBewAV (Bayern)</w:t>
      </w:r>
    </w:p>
    <w:p>
      <w:r>
        <w:rPr>
          <w:color w:val="555555"/>
          <w:sz w:val="18"/>
        </w:rPr>
        <w:t xml:space="preserve">Verordnung zur Ausführung des Bewertungsgesetzes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67 Abs. 3 Nr. 3 Satz 4, § 80 Abs. 2, § 110 Abs. 1 Nr. 12 Satz 3 des Bewertungsgesetzes in der Fassung der Bekanntmachung vom 1. Februar 1991 (BGBl I S. 230)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BayBewAV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https://recht.nulegal.eu/gesetze/BayBewAV/eingangsformel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