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BayBewAV (Bayern)</w:t>
      </w:r>
    </w:p>
    <w:p>
      <w:r>
        <w:rPr>
          <w:color w:val="555555"/>
          <w:sz w:val="18"/>
        </w:rPr>
        <w:t xml:space="preserve">Verordnung zur Ausführung des Bewertungsgesetzes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mit Wirkung vom 1. Januar 1991 in Kraft.</w:t>
      </w:r>
    </w:p>
    <w:p>
      <w:r>
        <w:t xml:space="preserve">(2) (aufgehoben)</w:t>
      </w:r>
    </w:p>
    <w:p>
      <w:r>
        <w:rPr>
          <w:color w:val="555555"/>
          <w:sz w:val="17"/>
        </w:rPr>
        <w:t xml:space="preserve">Zitiervorschlag: § 4 BayBewAV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https://recht.nulegal.eu/gesetze/BayBewAV/4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