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93 BayBesG (Bayern) — Bürokostenentschädigung für Gerichtsvollzieher und Gerichtsvollzieherinnen</w:t>
      </w:r>
    </w:p>
    <w:p>
      <w:r>
        <w:rPr>
          <w:color w:val="555555"/>
          <w:sz w:val="18"/>
        </w:rPr>
        <w:t xml:space="preserve">Bayerisches Besoldungsgesetz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Gewährung der Entschädigung zur Abgeltung der den Gerichtsvollziehern und Gerichtsvollzieherinnen für die Verpflichtung zur Einrichtung und Unterhaltung eines Büros entstehenden notwendigen Aufwendungen regelt das Staatsministerium der Justiz durch Rechtsverordnung.</w:t>
      </w:r>
    </w:p>
    <w:p>
      <w:r>
        <w:rPr>
          <w:color w:val="555555"/>
          <w:sz w:val="17"/>
        </w:rPr>
        <w:t xml:space="preserve">Zitiervorschlag: Art 93 BayBesG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https://recht.nulegal.eu/gesetze/BayBesG/93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