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BayBesG (Bayern) — Anwärtersonderzuschläge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Besteht ein erheblicher Mangel an qualifizierten Bewerbern und Bewerberinnen, kann das Staatsministerium der Finanzen und für Heimat Anwärtersonderzuschläge gewähren. Sie dürfen 70 v.H. des Anwärtergrundbetrags nicht übersteigen.</w:t>
      </w:r>
    </w:p>
    <w:p>
      <w:r>
        <w:t xml:space="preserve">(2) Der Anwärter oder die Anwärterin hat nur dann Anspruch auf den Anwärtersonderzuschlag, wenn der Anwärter oder die Anwärterin</w:t>
      </w:r>
    </w:p>
    <w:p>
      <w:r>
        <w:t xml:space="preserve">1. nicht vor dem Abschluss des Vorbereitungsdienstes oder wegen schuldhaften Nichtbestehens der Qualifikationsprüfung ausscheidet und</w:t>
      </w:r>
    </w:p>
    <w:p>
      <w:r>
        <w:t xml:space="preserve">2. nach Bestehen der Qualifikationsprüfung mindestens fünf Jahre als Beamter oder als Beamtin im öffentlichen Dienst in der Fachlaufbahn verbleibt oder in eine Fachlaufbahn wechselt, für die er oder sie die Befähigung erworben hat, oder, wenn das Beamtenverhältnis nach Bestehen der Qualifikationsprüfung endet, in einer Fachlaufbahn mit Bewerbermangel in ein neues Beamtenverhältnis im öffentlichen Dienst für mindestens die gleiche Zeit eintritt.</w:t>
      </w:r>
    </w:p>
    <w:p>
      <w:r>
        <w:t xml:space="preserve">(3) Werden die in Abs. 2 genannten Voraussetzungen aus Gründen, die der Beamte oder die Beamtin oder der frühere Beamte oder die frühere Beamtin zu vertreten hat, nicht erfüllt, ist der Anwärtersonderzuschlag in voller Höhe zurückzuzahlen. Der Rückzahlungsbetrag vermindert sich für jedes nach Bestehen der Qualifikationsprüfung abgeleistete Dienstjahr um jeweils ein Fünftel. Art. 15 bleibt unberührt.</w:t>
      </w:r>
    </w:p>
    <w:p>
      <w:r>
        <w:rPr>
          <w:color w:val="555555"/>
          <w:sz w:val="17"/>
        </w:rPr>
        <w:t xml:space="preserve">Zitiervorschlag: Art 78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