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40 BayBesG (Bayern) — Funktionsgerechte Besoldung, Grundgehalt</w:t>
      </w:r>
    </w:p>
    <w:p>
      <w:r>
        <w:rPr>
          <w:color w:val="555555"/>
          <w:sz w:val="18"/>
        </w:rPr>
        <w:t xml:space="preserve">Bayerisches Besoldungsgesetz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(1) Die Funktionen sind nach den mit ihnen verbundenen Anforderungen unter Berücksichtigung des Bayerischen Hochschulinnovationsgesetzes (BayHIG) sachgerecht zu bewerten und Ämtern zuzuordnen.</w:t>
      </w:r>
    </w:p>
    <w:p>
      <w:r>
        <w:t xml:space="preserve">(2) Das Grundgehalt bestimmt sich nach der Besoldungsgruppe des verliehenen Amtes. Art. 20 Abs. 2 bis 5 gilt entsprechend.</w:t>
      </w:r>
    </w:p>
    <w:p>
      <w:r>
        <w:rPr>
          <w:color w:val="555555"/>
          <w:sz w:val="17"/>
        </w:rPr>
        <w:t xml:space="preserve">Zitiervorschlag: Art 40 BayBesG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https://recht.nulegal.eu/gesetze/BayBesG/40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