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 BayBesG (Bayern) — Gesetzesvorbehalt</w:t>
      </w:r>
    </w:p>
    <w:p>
      <w:r>
        <w:rPr>
          <w:color w:val="555555"/>
          <w:sz w:val="18"/>
        </w:rPr>
        <w:t xml:space="preserve">Bayerisches Besoldungsgesetz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Die Besoldung wird durch Gesetz geregelt.</w:t>
      </w:r>
    </w:p>
    <w:p>
      <w:r>
        <w:t xml:space="preserve">(2) Zusicherungen, Vereinbarungen und Vergleiche, die eine höhere als die gesetzlich zustehende Besoldung verschaffen sollen, sind unwirksam. Das Gleiche gilt für Versicherungsverträge, die zu diesem Zweck abgeschlossen werden.</w:t>
      </w:r>
    </w:p>
    <w:p>
      <w:r>
        <w:t xml:space="preserve">(3) Die Berechtigten können auf die ihnen gesetzlich zustehende Besoldung weder ganz noch teilweise verzichten. Ausgenommen sind vermögenswirksame Leistungen und Leistungen im Rahmen einer Entgeltumwandlung für vom Dienstherrn geleaste Dienstfahrräder, die den Berechtigten auch zur privaten Nutzung überlassen werden, wenn es sich um Fahrräder im verkehrsrechtlichen Sinn handelt. Eine Entgeltumwandlung nach Satz 2 setzt außerdem voraus, dass sie für eine Maßnahme erfolgt, die den Berechtigten vom Dienstherrn angeboten wird und es diesen freigestellt ist, ob sie das Angebot annehmen.</w:t>
      </w:r>
    </w:p>
    <w:p>
      <w:r>
        <w:rPr>
          <w:color w:val="555555"/>
          <w:sz w:val="17"/>
        </w:rPr>
        <w:t xml:space="preserve">Zitiervorschlag: Art 3 BayBesG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https://recht.nulegal.eu/gesetze/BayBesG/3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