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BayBesG (Bayern) — Besondere Eingangsämter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23 können in den Besoldungsordnungen besondere Eingangsämter ausgebracht werden, wenn</w:t>
      </w:r>
    </w:p>
    <w:p>
      <w:r>
        <w:t xml:space="preserve">1. der Aufgabenbereich besondere, von den Anforderungen eines regelmäßigen Eingangsamtes abweichende Erfordernisse stellt, die sich aus der Eigenart des Dienstes ergeben, und</w:t>
      </w:r>
    </w:p>
    <w:p>
      <w:r>
        <w:t xml:space="preserve">2. die Ausbildungsanforderungen des besonderen Eingangsamtes wesentlich über die des regelmäßigen Eingangsamtes hinausgehen.</w:t>
      </w:r>
    </w:p>
    <w:p>
      <w:r>
        <w:t xml:space="preserve">Art. 23 Satz 3 gilt entsprechend.</w:t>
      </w:r>
    </w:p>
    <w:p>
      <w:r>
        <w:rPr>
          <w:color w:val="555555"/>
          <w:sz w:val="17"/>
        </w:rPr>
        <w:t xml:space="preserve">Zitiervorschlag: Art 24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