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BayBesG (Bayern) — Grundgehalt bei Verleihung eines anderen Amtes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Verringert sich während eines Dienstverhältnisses nach Art. 1 Abs. 1 das Grundgehalt durch Verleihung eines anderen Amtes aus dienstlichen Gründen, ist abweichend von Art. 20 Abs. 1 Satz 1 das Grundgehalt zu zahlen, das bei einem Verbleiben in dem bisherigen Amt zugestanden hätte. Veränderungen in der besoldungsrechtlichen Bewertung des bisherigen Amtes bleiben unberücksichtigt. Sätze 1 und 2 gelten entsprechend für Amtszulagen, Zulagen für besondere Berufsgruppen (Art. 34) und die Strukturzulage (Art. 33) auch dann, wenn eine andere Funktion übertragen worden ist. Sätze 1 bis 3 gelten für Amtsinhaber und Amtsinhaberinnen mit leitender Funktion im Beamtenverhältnis auf Zeit bis zum Ablauf der Amtszeit. Satz 4 gilt nicht in Fällen, in denen das Beamtenverhältnis auf Zeit vor Ablauf der Amtszeit endet, weil der Beamte oder die Beamtin den Anforderungen des Amtes nicht gerecht wird.</w:t>
      </w:r>
    </w:p>
    <w:p>
      <w:r>
        <w:t xml:space="preserve">(2) Abs. 1 gilt nicht, wenn die Rückstufung auf einer Disziplinarmaßnahme beruht.</w:t>
      </w:r>
    </w:p>
    <w:p>
      <w:r>
        <w:rPr>
          <w:color w:val="555555"/>
          <w:sz w:val="17"/>
        </w:rPr>
        <w:t xml:space="preserve">Zitiervorschlag: Art 21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