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BayBesG (Bayern) — Grundsatz der funktionsgerechten Besoldung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Funktionen der Beamten und Beamtinnen sind nach den mit ihnen verbundenen Anforderungen unter Berücksichtigung der gemeinsamen Belange der in Art. 1 Abs. 1 Satz 1 genannten Dienstherren sachgerecht zu bewerten und Ämtern zuzuordnen.</w:t>
      </w:r>
    </w:p>
    <w:p>
      <w:r>
        <w:t xml:space="preserve">(2) Bei der Einstufung von Ämtern der Leitungsebene von Besoldungsgruppe B 2 an ist zwischen den Behördenleitern oder Behördenleiterinnen und ihren Stellvertretungen ein Mindestabstand von drei Besoldungsgruppen einzuhalten. Ein geringerer Abstand ist nur dann zulässig, wenn die Wertigkeit des Leitungsamtes unter der Besoldungsgruppe B 5 einzustufen ist oder die besondere Leitungsstruktur eine Abweichung vom Grundsatz des Satzes 1 rechtfertigt.</w:t>
      </w:r>
    </w:p>
    <w:p>
      <w:r>
        <w:rPr>
          <w:color w:val="555555"/>
          <w:sz w:val="17"/>
        </w:rPr>
        <w:t xml:space="preserve">Zitiervorschlag: Art 19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