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BayBesG (Bayern) — Anpassung der Besoldung</w:t>
      </w:r>
    </w:p>
    <w:p>
      <w:r>
        <w:rPr>
          <w:color w:val="555555"/>
          <w:sz w:val="18"/>
        </w:rPr>
        <w:t xml:space="preserve">Bayerisches Besoldungsgesetz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Besoldung wird entsprechend der Entwicklung der allgemeinen wirtschaftlichen und finanziellen Verhältnisse und unter Berücksichtigung der mit den Dienstaufgaben verbundenen Verantwortung durch Gesetz regelmäßig angepasst.</w:t>
      </w:r>
    </w:p>
    <w:p>
      <w:r>
        <w:t xml:space="preserve">(2) Die ab dem 1. Februar 2025 geltenden Beträge in den Anlagen 3 bis 9 entsprechen einer allgemeinen linearen Erhöhung um 5,5 v. H. gegenüber dem vorherigen Stand. Die ab dem 1. Februar 2025 geltenden Beträge der Anlage 10 sind um jeweils 50 € gegenüber dem vorherigen Stand erhöht.</w:t>
      </w:r>
    </w:p>
    <w:p>
      <w:r>
        <w:rPr>
          <w:color w:val="555555"/>
          <w:sz w:val="17"/>
        </w:rPr>
        <w:t xml:space="preserve">Zitiervorschlag: Art 16 BayBesG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https://recht.nulegal.eu/gesetze/BayBesG/16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