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111 BayBesG (Bayern) — Außerkrafttreten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Außer Kraft treten:</w:t>
      </w:r>
    </w:p>
    <w:p>
      <w:r>
        <w:t xml:space="preserve">1. Art. 109a mit Ablauf des 31. Dezember 2025,</w:t>
      </w:r>
    </w:p>
    <w:p>
      <w:r>
        <w:t xml:space="preserve">2. Art. 60b und Art. 108 Abs. 14, Art. 109 Abs. 1, 2 und 4 sowie Anlage 11 mit Ablauf des 31. Dezember 2026 und</w:t>
      </w:r>
    </w:p>
    <w:p>
      <w:r>
        <w:t xml:space="preserve">3. Art. 108 Abs. 13 mit Ablauf des 31. August 2028.</w:t>
      </w:r>
    </w:p>
    <w:p>
      <w:r>
        <w:rPr>
          <w:color w:val="555555"/>
          <w:sz w:val="17"/>
        </w:rPr>
        <w:t xml:space="preserve">Zitiervorschlag: Art 111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https://recht.nulegal.eu/gesetze/BayBesG/111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