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BayBesG (Bayern) — Übergangsvorschriften zu orts- und familienbezogenen Besoldungsbestandteilen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erhalten für den Zeitraum vom 1. Januar 2020 bis 31. März 2023 einen orts- und familienbezogenen Besoldungsbestandteil in Höhe des Betrags, um den der Orts- und Familienzuschlag bei Anwendung der Art. 35 bis 37 in der am 1. April 2023 geltenden Fassung auf diesen Zeitraum den aufgrund der Art. 35 bis 37 in der jeweils geltenden Fassung tatsächlich gewährten Familienzuschlag übersteigt. Für die Jahre 2020 bis 2022 ist bei der Berechnung des Orts- und Familienzuschlags nach den Art. 35 bis 37 in der am 1. April 2023 geltenden Fassung anstelle der Anlage 5 auf die Anlage 11 abzustellen. Art. 36 Abs. 6 ist bei der Berechnung des Orts- und Familienzuschlags nach den Art. 35 bis 37 in der am 1. April 2023 geltenden Fassung nicht anzuwenden. Eine im Zeitraum des Satzes 1 gewährte Ballungsraumzulage nach Art. 94 in der jeweils geltenden Fassung ist auf die nach den Sätzen 1 und 2 zu gewährenden Beträge anzurechnen.</w:t>
      </w:r>
    </w:p>
    <w:p>
      <w:r>
        <w:t xml:space="preserve">(2) Ein Anspruch nach Abs. 1 besteht für Berechtigte, die nicht ein Fehlen der Amtsangemessenheit der Alimentation durch Widerspruch oder Klage geltend gemacht haben oder über deren Widerspruch oder Klage bereits abschließend entschieden worden ist, nur für die Jahre, in denen der Dienstherr allgemein auf das Erfordernis einer Geltendmachung im jeweiligen Haushaltsjahr verzichtet hat. Im Falle eines Dienstherrenwechsels bestehen gesonderte Ansprüche nach Abs. 1 gegen die jeweiligen Dienstherren für die Zeiten, in denen dort ein entsprechendes Dienstverhältnis begründet war, wenn die jeweiligen Voraussetzungen nach Satz 1 und Abs. 1 vorliegen.</w:t>
      </w:r>
    </w:p>
    <w:p>
      <w:r>
        <w:t xml:space="preserve">(3) Berechtigten, die am 31. März 2023 Anspruch auf Gewährung eines Familienzuschlags nach den Art. 35 bis 37 oder einer Ballungsraumzulage nach Art. 94 oder auf beide Leistungen haben, werden diese Leistungen weiter gewährt, solange die jeweiligen Voraussetzungen in der am 31. März 2023 geltenden Fassung vorliegen und solange und soweit die betragsmäßige Summe der Leistungen den nach den Art. 35 bis 37 in der jeweils geltenden Fassung zu gewährenden Orts- und Familienzuschlag übersteigt. Im Fall einer Beurlaubung ohne Anspruch auf Bezüge sind die Leistungen im Sinn des Satzes 1 maßgeblich, die bei einer Beendigung der Beurlaubung am 31. März 2023 maßgebend wären.</w:t>
      </w:r>
    </w:p>
    <w:p>
      <w:r>
        <w:t xml:space="preserve">(4) Berechtigten, die, ohne dass darüber bereits abschließend entschieden worden ist, ein Fehlen der Amtsangemessenheit der Alimentation für ein drittes oder weiteres Kind durch Widerspruch oder Klage geltend gemacht haben, wird für bezugsberechtigte Zeiträume bis einschließlich 31. Dezember 2019 ein erhöhter Familienzuschlag nach Maßgabe der folgenden Sätze gewährt. Eine Nachzahlung erfolgt frühestens mit Wirkung ab dem 1. Januar des Haushaltsjahres, in welchem Widerspruch eingelegt oder Klage erhoben wurde. Ein Anspruch besteht nur, soweit im entsprechenden Zeitraum für das jeweilige Kind ein Anspruch auf Familienzuschlag der Stufe 4 oder höher in der jeweils geltenden Fassung bestand. Die zu gewährenden Erhöhungsbeträge betragen monatlich 313,97 € je drittem oder weiterem Kind. Teil 3 Abschnitt 6 findet keine Anwendung.</w:t>
      </w:r>
    </w:p>
    <w:p>
      <w:r>
        <w:rPr>
          <w:color w:val="555555"/>
          <w:sz w:val="17"/>
        </w:rPr>
        <w:t xml:space="preserve">Zitiervorschlag: Art 109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https://recht.nulegal.eu/gesetze/BayBesG/109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