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106a BayBesG (Bayern) — Einordnung in die ab 1. Januar 2020 maßgeblichen Grundgehaltstabellen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Beamtinnen, Richter, Richterinnen, Staatsanwälte und Staatsanwältinnen, die am 31. Dezember 2019 das Grundgehalt der jeweils ersten mit einem Monatsbetrag belegten Stufe der jeweiligen Besoldungsgruppe erhalten haben, werden der jeweils ersten mit einem Monatsbetrag belegten Stufe der jeweiligen Besoldungsgruppe der Anlage 3 in der ab 1. Januar 2020 geltenden Fassung zugeordnet. Beamte und Beamtinnen, die am 31. Dezember 2019 das Grundgehalt der Stufe 2 nach Art. 30 Abs. 1 Satz 3 oder 4 erhalten haben, werden jeweils der Stufe 3 der jeweiligen Besoldungsgruppe der Anlage 3 in der ab 1. Januar 2020 geltenden Fassung zugeordnet. Bei Beurlaubten ohne Anspruch auf Bezüge ist das Grundgehalt maßgeblich, das bei einer Beendigung der Beurlaubung am 31. Dezember 2019 maßgebend gewesen wäre.</w:t>
      </w:r>
    </w:p>
    <w:p>
      <w:r>
        <w:t xml:space="preserve">(2) Mit der Zuordnung zu einer Stufe des Grundgehalts der Anlage 3 nach Abs. 1 beginnen die für die Regelstufe maßgebenden Zeitabstände des Art. 30 Abs. 2 Satz 2 oder des Art. 47 Abs. 2 Satz 1.</w:t>
      </w:r>
    </w:p>
    <w:p>
      <w:r>
        <w:t xml:space="preserve">(3) Die nach Abs. 1 und 2 bestimmte Stufe gilt als festgesetzt. Die Festsetzung nach Satz 1 ist ab dem Tag der Einordnung in die neue Grundgehaltstabelle für die Bemessung des Grundgehalts zugrunde zu legen. Stufenfestsetzungen für am 31. Dezember 2019 vorhandene Beamte, Beamtinnen, Richter, Richterinnen, Staatsanwälte und Staatsanwältinnen bleiben hinsichtlich der Entscheidungen nach Art. 30 Abs. 1 Satz 3 und 4, Abs. 2 Satz 3, Abs. 3 und Abs. 4, Art. 31 Abs. 1, 2 Satz 3 und 4 und Abs. 3 unberührt. Soweit für den in Satz 3 genannten Personenkreis noch keine Stufenfestsetzung erfolgt ist, richtet sich die Zuordnung zu einer Stufe des Grundgehalts nach Anlage 3 in der bis 31. Dezember 2019 geltenden Fassung; entsprechendes gilt bei der Abänderung einer Stufenfestsetzung.</w:t>
      </w:r>
    </w:p>
    <w:p>
      <w:r>
        <w:rPr>
          <w:color w:val="555555"/>
          <w:sz w:val="17"/>
        </w:rPr>
        <w:t xml:space="preserve">Zitiervorschlag: Art 106a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https://recht.nulegal.eu/gesetze/BayBesG/106a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