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101 BayBesG (Bayern) — Sachbezüge, sonstige Leistungen an Arbeitnehmer und Arbeitnehmerinnen sowie Zuständigkeit für die Festsetzung und Anordnung der Bezüge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11, 91 Abs. 2, Art. 99a und 108 Abs. 9 gelten für Arbeitnehmer und Arbeitnehmerinnen entsprechend, soweit nicht eine günstigere tarifvertragliche Regelung besteht.</w:t>
      </w:r>
    </w:p>
    <w:p>
      <w:r>
        <w:t xml:space="preserve">(2) Art. 14 Satz 3 gilt entsprechend.</w:t>
      </w:r>
    </w:p>
    <w:p>
      <w:r>
        <w:rPr>
          <w:color w:val="555555"/>
          <w:sz w:val="17"/>
        </w:rPr>
        <w:t xml:space="preserve">Zitiervorschlag: Art 101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https://recht.nulegal.eu/gesetze/BayBesG/101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