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BayBergV (Bayern) — Entstehung des Förderabgabeanspruchs; Förderabgabevoranmeldung; Förderabgabeerklärung</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Förderabgabeanspruch entsteht mit der Gewinnung des Bodenschatzes. Erhebungszeitraum ist das Kalenderjahr.</w:t>
      </w:r>
    </w:p>
    <w:p>
      <w:r>
        <w:t xml:space="preserve">(2) Abgabepflichtige haben nach Aufnahme der Gewinnung jeweils bis zum 25. Tag nach Ablauf eines Kalendervierteljahres (Voranmeldungszeitraum) eine Förderabgabevoranmeldung abzugeben und bis zum gleichen Tag die Abschlagszahlung auf die Förderabgabe zu entrichten. Abgabepflichtige brauchen keine Förderabgabevoranmeldung abzugeben und keine Abschlagszahlung zu entrichten, wenn die Förderabgabe für den Erhebungszeitraum voraussichtlich nicht mehr als 25 000 € betragen wird und sie dies der zuständigen Behörde bis zum 25. Tag des ersten Voranmeldezeitraums anzeigen.</w:t>
      </w:r>
    </w:p>
    <w:p>
      <w:r>
        <w:t xml:space="preserve">(3) Abgabepflichtige haben bis zum 31. Juli eines jeden Jahres für den vorausgegangenen Erhebungszeitraum eine Förderabgabeerklärung abzugeben.</w:t>
      </w:r>
    </w:p>
    <w:p>
      <w:r>
        <w:t xml:space="preserve">(4) Die zuständige Behörde kann die Frist zur Abgabe der Förderabgabevoranmeldung und Förderabgabeerklärung aus wichtigem Grund verlängern.</w:t>
      </w:r>
    </w:p>
    <w:p>
      <w:r>
        <w:rPr>
          <w:color w:val="555555"/>
          <w:sz w:val="17"/>
        </w:rPr>
        <w:t xml:space="preserve">Zitiervorschlag: § 52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