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BayBergV (Bayern) — Entstehung des Feldesabgabeanspruchs; Feldesabgabeerklärung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Feldesabgabeanspruch entsteht mit der Wirksamkeit der Erlaubnis zur Aufsuchung von Bodenschätzen zu gewerblichen Zwecken. Erhebungszeitraum ist das Kalenderjahr.</w:t>
      </w:r>
    </w:p>
    <w:p>
      <w:r>
        <w:t xml:space="preserve">(2) Abgabepflichtige haben bis zum 31. Mai eines jeden Jahres für den vorausgegangenen Erhebungszeitraum eine Feldesabgabeerklärung abzugeben und bis zum gleichen Tag die Feldesabgabe zu entrichten. Die zuständige Behörde kann die Frist zur Abgabe der Feldesabgabeerklärung aus wichtigem Grund verlängern.</w:t>
      </w:r>
    </w:p>
    <w:p>
      <w:r>
        <w:rPr>
          <w:color w:val="555555"/>
          <w:sz w:val="17"/>
        </w:rPr>
        <w:t xml:space="preserve">Zitiervorschlag: § 51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