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BayBergV (Bayern) — Abnahmeprüfung durch Sachverständige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in § 40 Abs. 1 vorgeschriebene Abnahmeprüfung durch Sachverständige muss sich mindestens erstrecken auf</w:t>
      </w:r>
    </w:p>
    <w:p>
      <w:r>
        <w:t xml:space="preserve">1. Förder- und Abteufgerüste, Fundamente und Verlagerungen von Fördermaschinen und Förderhäspeln, Verlagerungen von Führungs- und Reibseilen sowie Verlagerungen von Seil- und Ablenkscheiben unter Tage,</w:t>
      </w:r>
    </w:p>
    <w:p>
      <w:r>
        <w:t xml:space="preserve">2. zur Seilfahrt oder Förderung dienende Einbauten und Vorrichtungen in Schächten und an ihren Zugängen,</w:t>
      </w:r>
    </w:p>
    <w:p>
      <w:r>
        <w:t xml:space="preserve">3. den mechanischen Teil von Fördermaschinen, Förderhäspeln und Winden mit zugehörigen Sicherheitseinrichtungen,</w:t>
      </w:r>
    </w:p>
    <w:p>
      <w:r>
        <w:t xml:space="preserve">4. den elektrischen Teil von Fördermaschinen, Förderhäspeln und Winden mit zugehörigen Sicherheitseinrichtungen,</w:t>
      </w:r>
    </w:p>
    <w:p>
      <w:r>
        <w:t xml:space="preserve">5. alle übrigen elektrischen Anlagen einschließlich der Schachtüberwachungs- und Signalanlagen und der Einrichtungen für automatischen Betrieb,</w:t>
      </w:r>
    </w:p>
    <w:p>
      <w:r>
        <w:t xml:space="preserve">6. Seile, Seileinbände, Zwischengeschirre, Unterseilaufhängungen und Bühnenaufhängungen,</w:t>
      </w:r>
    </w:p>
    <w:p>
      <w:r>
        <w:t xml:space="preserve">7. Fördermittel, Gegengewichte, Bühnenanlagen.</w:t>
      </w:r>
    </w:p>
    <w:p>
      <w:r>
        <w:t xml:space="preserve">(2) Der bauliche Zustand von Abteufgerüsten ist nach jedem Standortwechsel vor der Inbetriebnahme durch einen Sachverständigen zu prüfen; dazu gehört auch die Prüfung einzelner Teile vor dem Zusammenbau des Gerüsts.</w:t>
      </w:r>
    </w:p>
    <w:p>
      <w:r>
        <w:rPr>
          <w:color w:val="555555"/>
          <w:sz w:val="17"/>
        </w:rPr>
        <w:t xml:space="preserve">Zitiervorschlag: § 41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