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BayBergV (Bayern) — Verkehrssprache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Unternehmer hat für Einrichtungen, in denen Personen mit unterschiedlicher Muttersprache beschäftigt werden, eine einheitliche Verkehrssprache festzulegen und sicherzustellen, dass</w:t>
      </w:r>
    </w:p>
    <w:p>
      <w:r>
        <w:t xml:space="preserve">1. nur Beschäftigte mit selbständigen Arbeiten betraut werden, die in der Verkehrssprache gegebene Weisungen richtig auffassen und sich in dieser Sprache eindeutig verständlich machen können,</w:t>
      </w:r>
    </w:p>
    <w:p>
      <w:r>
        <w:t xml:space="preserve">2. verantwortliche Personen und weisungsberechtigte Personen die Verkehrssprache beherrschen und Deutsch sprechen, Deutsch lesen und Deutsch schreiben können.</w:t>
      </w:r>
    </w:p>
    <w:p>
      <w:r>
        <w:t xml:space="preserve">(2) Die zuständige Bergbehörde kann Ausnahmen von Abs. 1 Nr. 2 zulassen, wenn der Unternehmer dafür sorgt, dass eine ausreichende Zahl anderer fachkundiger Personen vor Ort anwesend sind, die über die in Abs. 1 Nr. 2 genannten Sprachkenntnisse verfügen und die Einleitung von Notfall- oder Rettungsmaßnahmen, die dazu erforderliche Information der Öffentlichkeit und die Verständigung mit den Behörden ohne Verzögerungen erfolgen können.</w:t>
      </w:r>
    </w:p>
    <w:p>
      <w:r>
        <w:rPr>
          <w:color w:val="555555"/>
          <w:sz w:val="17"/>
        </w:rPr>
        <w:t xml:space="preserve">Zitiervorschlag: § 4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