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BayBergV (Bayern) — Anwendungsbereich</w:t>
      </w:r>
    </w:p>
    <w:p>
      <w:r>
        <w:rPr>
          <w:color w:val="555555"/>
          <w:sz w:val="18"/>
        </w:rPr>
        <w:t xml:space="preserve">Bayerische Bergverordnung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Dieser Abschnitt gilt für:</w:t>
      </w:r>
    </w:p>
    <w:p>
      <w:r>
        <w:t xml:space="preserve">1. Schachtförderanlagen</w:t>
      </w:r>
    </w:p>
    <w:p>
      <w:r>
        <w:t xml:space="preserve">a) Seilfahrtanlagen</w:t>
      </w:r>
    </w:p>
    <w:p>
      <w:r>
        <w:t xml:space="preserve">b) Güterförderanlagen</w:t>
      </w:r>
    </w:p>
    <w:p>
      <w:r>
        <w:t xml:space="preserve">c) Abteufanlagen</w:t>
      </w:r>
    </w:p>
    <w:p>
      <w:r>
        <w:t xml:space="preserve">2. Befahrungsanlagen</w:t>
      </w:r>
    </w:p>
    <w:p>
      <w:r>
        <w:t xml:space="preserve">3. Hilfsfahranlagen, Fahrtrume sowie Notfahranlagen beim Abteufen</w:t>
      </w:r>
    </w:p>
    <w:p>
      <w:r>
        <w:t xml:space="preserve">4. Bühnen und Greiferanlagen</w:t>
      </w:r>
    </w:p>
    <w:p>
      <w:r>
        <w:t xml:space="preserve">5. Winden</w:t>
      </w:r>
    </w:p>
    <w:p>
      <w:r>
        <w:t xml:space="preserve">in Schächten und schachtähnlichen Grubenbauen sowie in Schrägstrecken (Haspelbergen), in denen vorbezeichnete Anlagen eingebaut werden.</w:t>
      </w:r>
    </w:p>
    <w:p>
      <w:r>
        <w:rPr>
          <w:color w:val="555555"/>
          <w:sz w:val="17"/>
        </w:rPr>
        <w:t xml:space="preserve">Zitiervorschlag: § 37 BayBergV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https://recht.nulegal.eu/gesetze/BayBergV/37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