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BayBergV (Bayern) — Aufbau, Abbau und Umsetzen von Bohranlagen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Anlagen nach § 29 dürfen nur auf geeignetem Untergrund und, soweit nach der statischen Berechnung eine Gründung erforderlich ist, nur auf geeigneten Fundamenten oder sonstigen Gründungen errichtet werden. Die nach den anerkannten Regeln der Bautechnik für die Fundamente oder sonstigen Gründungen erforderlichen Berechnungen sind bei Anlagen mit einer Hakenausnahmelast von 1000 kN oder mehr von einem Sachverständigen zu prüfen.</w:t>
      </w:r>
    </w:p>
    <w:p>
      <w:r>
        <w:t xml:space="preserve">(2) Anlagen nach § 29 mit einer zulässigen Belastung des Zug- oder Schubsystems von mehr als 100 kN dürfen nur errichtet und in Betrieb genommen werden, wenn die Prüfungen nach § 35 durchgeführt wurden.</w:t>
      </w:r>
    </w:p>
    <w:p>
      <w:r>
        <w:t xml:space="preserve">(3) Es ist Vorsorge zu treffen, dass die Gründung der Anlage nicht hinterspült oder unterspült werden kann.</w:t>
      </w:r>
    </w:p>
    <w:p>
      <w:r>
        <w:t xml:space="preserve">(4) Aufbau, Abbau und Umsetzen von Anlagen nach § 29 müssen durch eine verantwortliche Person ständig überwacht werden.</w:t>
      </w:r>
    </w:p>
    <w:p>
      <w:r>
        <w:rPr>
          <w:color w:val="555555"/>
          <w:sz w:val="17"/>
        </w:rPr>
        <w:t xml:space="preserve">Zitiervorschlag: § 34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