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BayBergV (Bayern) — Seilsicherheiten, Nachnehmen und Kürzen von Hebewerkseilen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beim Betrieb von Gerüsten verwendeten Seile müssen den Voraussetzungen nach Anlage 4 entsprechen.</w:t>
      </w:r>
    </w:p>
    <w:p>
      <w:r>
        <w:t xml:space="preserve">(2) Bei Gerüsten mit einer Hakenregellast von mehr als 1000 kN ist das Hebewerkseil nach einem vom Unternehmer für jedes Gerüst nach den Betriebserfahrungen und der jeweiligen Beanspruchung festzulegenden Plan regelmäßig nachzunehmen und zu kürzen.</w:t>
      </w:r>
    </w:p>
    <w:p>
      <w:r>
        <w:rPr>
          <w:color w:val="555555"/>
          <w:sz w:val="17"/>
        </w:rPr>
        <w:t xml:space="preserve">Zitiervorschlag: § 32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