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BayBergV (Bayern) — Fahrsicherungen und Anzeigevorrichtungen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Hebewerke müssen mit einer Anzeigevorrichtung für die Zuglast (Hakenlast) versehen werden. Bei Anlagen nach § 29, die zur Erschließung von Erdgas-, Erdöl- und Erdwärmelagerstätten eingesetzt werden, muss diese Anzeigevorrichtung bei einer Zuglast über 600 kN schreibend sein. Die Messdaten der Zuglast können auch elektronisch aufgezeichnet, gespeichert und grafisch dargestellt werden.</w:t>
      </w:r>
    </w:p>
    <w:p>
      <w:r>
        <w:t xml:space="preserve">(2) Übertreibsicherungen von Hebewerken dürfen nur aus zwingenden Gründen und nur vorübergehend auf ausdrückliche Weisung der zuständigen verantwortlichen Person überbrückt werden. Die Überbrückung muss für den Hebewerkfahrer deutlich erkennbar sein.</w:t>
      </w:r>
    </w:p>
    <w:p>
      <w:r>
        <w:rPr>
          <w:color w:val="555555"/>
          <w:sz w:val="17"/>
        </w:rPr>
        <w:t xml:space="preserve">Zitiervorschlag: § 31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