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BayBergV (Bayern) — Anforderungen an den Betrieb von Bohranlagen und von sonstigen Anlagen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Es dürfen nur Anlagen nach § 29 verwendet werden, deren Festigkeit und Standsicherheit für die bei dem jeweiligen Vorhaben auftretenden Belastungen nachgewiesen sind.</w:t>
      </w:r>
    </w:p>
    <w:p>
      <w:r>
        <w:t xml:space="preserve">(2) Beim Erstellen, Aufwältigen oder Behandeln von Bohrungen, an denen Ausbrüche nicht ausgeschlossen werden können, ist der Nachweis zu erbringen, dass die eingesetzten Anlagen nach § 29 für den Einsatz der zur Beherrschung von Ausbrüchen erforderlichen Einrichtungen geeignet sind.</w:t>
      </w:r>
    </w:p>
    <w:p>
      <w:r>
        <w:t xml:space="preserve">(3) Beim Erstellen und Behandeln von Bohrungen, an denen Ausbrüche nicht ausgeschlossen werden können, muss der Unternehmer sicherstellen, dass Personen die Gefahrenbereiche mit geeigneten Fluchteinrichtungen schnell und sicher verlassen können.</w:t>
      </w:r>
    </w:p>
    <w:p>
      <w:r>
        <w:rPr>
          <w:color w:val="555555"/>
          <w:sz w:val="17"/>
        </w:rPr>
        <w:t xml:space="preserve">Zitiervorschlag: § 30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