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BayBergV (Bayern) — Wetterführung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Wetterströme sind durch geeignete Maßnahmen zu unterteilen, um die Ausdehnung gefährlicher Auswirkungen wettertechnischer Störungen auf andere Betriebsbereiche zu vermeiden.</w:t>
      </w:r>
    </w:p>
    <w:p>
      <w:r>
        <w:t xml:space="preserve">(2) Die Führung von Wettern in einem Grubenbau in verschiedenen Richtungen mit Hilfe von Wetterscheidern ist verboten.</w:t>
      </w:r>
    </w:p>
    <w:p>
      <w:r>
        <w:t xml:space="preserve">(3) Müssen der Wetterführung dienende Türen häufig geöffnet oder offen gehalten werden und wird dadurch die Bewetterung wesentlich gestört, sind Wetterschleusen einzurichten.</w:t>
      </w:r>
    </w:p>
    <w:p>
      <w:r>
        <w:t xml:space="preserve">(4) Der Wetterführung dienende Türen und andere Abschlüsse müssen so eingebaut werden, dass sie selbsttätig schließen. Geöffnete Wettertüren dürfen nicht dauerhaft festgelegt werden.</w:t>
      </w:r>
    </w:p>
    <w:p>
      <w:r>
        <w:rPr>
          <w:color w:val="555555"/>
          <w:sz w:val="17"/>
        </w:rPr>
        <w:t xml:space="preserve">Zitiervorschlag: § 26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