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BayBergV (Bayern) — Wetterversorgung</w:t>
      </w:r>
    </w:p>
    <w:p>
      <w:r>
        <w:rPr>
          <w:color w:val="555555"/>
          <w:sz w:val="18"/>
        </w:rPr>
        <w:t xml:space="preserve">Bayerische Bergverordnung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Unternehmer hat durch Bewetterung dafür zu sorgen, dass in allen Grubenbauen die Wetter weniger als 1 % Grubengas enthalten.</w:t>
      </w:r>
    </w:p>
    <w:p>
      <w:r>
        <w:t xml:space="preserve">(2) In allen belegten Grubenbauen müssen jeder dort befindlichen Person mindestens 2 m 3 /min Frischwetter zur Verfügung stehen. Die Wettergeschwindigkeit darf in belegten oder der regelmäßigen Fahrung dienenden Grubenbauen 6 m/s nicht überschreiten.</w:t>
      </w:r>
    </w:p>
    <w:p>
      <w:r>
        <w:t xml:space="preserve">(3) Der Unternehmer muss für die gesamte Bewetterung eine verantwortliche Person bestellen.</w:t>
      </w:r>
    </w:p>
    <w:p>
      <w:r>
        <w:rPr>
          <w:color w:val="555555"/>
          <w:sz w:val="17"/>
        </w:rPr>
        <w:t xml:space="preserve">Zitiervorschlag: § 25 BayBergV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https://recht.nulegal.eu/gesetze/BayBergV/25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