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BayBergV (Bayern) — Besondere Aufzeichnungen</w:t>
      </w:r>
    </w:p>
    <w:p>
      <w:r>
        <w:rPr>
          <w:color w:val="555555"/>
          <w:sz w:val="18"/>
        </w:rPr>
        <w:t xml:space="preserve">Bayerische Bergverordnung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Unternehmer hat dafür Sorge zu tragen, dass für die elektrischen Anlagen und elektrischen Arbeitsmittel Kurzschlussberechnungen oder gleichwertige Nachweise sowie für Hoch- und Niederspannungsnetze Übersichtsschaltpläne vorhanden sind. Der Unternehmer hat dafür Sorge zu tragen, dass bei explosionsgeschützten elektrischen Arbeitsmitteln mit Fertigungsnummer Angaben über Hersteller, Bauartbezeichnung, Fertigungsnummer, Nenndaten und Instandsetzungsarbeiten vorhanden sind. Satz 2 findet keine Anwendung auf Arbeitsmittel kleiner Bauart, an denen Instandsetzungsarbeiten üblicherweise nicht vorgenommen werden.</w:t>
      </w:r>
    </w:p>
    <w:p>
      <w:r>
        <w:rPr>
          <w:color w:val="555555"/>
          <w:sz w:val="17"/>
        </w:rPr>
        <w:t xml:space="preserve">Zitiervorschlag: § 15 BayBergV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https://recht.nulegal.eu/gesetze/BayBergV/15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