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BayBehEinrV (Bayern)</w:t>
      </w:r>
    </w:p>
    <w:p>
      <w:r>
        <w:rPr>
          <w:color w:val="555555"/>
          <w:sz w:val="18"/>
        </w:rPr>
        <w:t xml:space="preserve">Verordnung über die Einrichtung der staatlichen Behörden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77 Abs. 1 Satz 2 der Verfassung erläßt die Bayerische Staatsregierung folgende Verordnung:</w:t>
      </w:r>
    </w:p>
    <w:p>
      <w:r>
        <w:rPr>
          <w:color w:val="555555"/>
          <w:sz w:val="17"/>
        </w:rPr>
        <w:t xml:space="preserve">Zitiervorschlag: Eingangsformel BayBehEinrV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https://recht.nulegal.eu/gesetze/BayBehEinrV/eingangsformel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