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BayBegnadBek (Bayern) — Befugnisse des Staatsministeriums der Justiz in vorbehaltenen Gnadensachen</w:t>
      </w:r>
    </w:p>
    <w:p>
      <w:r>
        <w:rPr>
          <w:color w:val="555555"/>
          <w:sz w:val="18"/>
        </w:rPr>
        <w:t xml:space="preserve">Bekanntmachung des Bayerischen Ministerpräsidenten über die Ausübung des Begnadigungsrechts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den Fällen des § 2 Nr. 1 ist das Staatsministerium der Justiz mit dem Recht der Weitergabe der Ermächtigung befugt,</w:t>
      </w:r>
    </w:p>
    <w:p>
      <w:r>
        <w:t xml:space="preserve">1. die Unterbrechung einer lebenslangen Freiheitsstrafe in unaufschiebbaren Eilfällen auszusprechen,</w:t>
      </w:r>
    </w:p>
    <w:p>
      <w:r>
        <w:t xml:space="preserve">2. (gegenstandslos)</w:t>
      </w:r>
    </w:p>
    <w:p>
      <w:r>
        <w:t xml:space="preserve">3. den Gnadenerweis des Ministerpräsidenten, durch den Strafaussetzung zur Bewährung oder Strafunterbrechung bewilligt worden ist, zu widerrufen, wenn sich der Begnadigte durch sein Verhalten nach dem Gnadenerweis dessen unwürdig gezeigt hat; die Grundsätze des Strafgesetzbuchs über den Widerruf der Strafaussetzung zur Bewährung gelten entsprechend.</w:t>
      </w:r>
    </w:p>
    <w:p>
      <w:r>
        <w:t xml:space="preserve">[Amtl. Anm.:] BGBl. FN 450-2</w:t>
      </w:r>
    </w:p>
    <w:p>
      <w:r>
        <w:rPr>
          <w:color w:val="555555"/>
          <w:sz w:val="17"/>
        </w:rPr>
        <w:t xml:space="preserve">Zitiervorschlag: § 3 BayBegnadBek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https://recht.nulegal.eu/gesetze/BayBegnadBek/3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