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BayBeauftrG (Bayern) — Amtsentschädigung, Geschäftsstelle</w:t>
      </w:r>
    </w:p>
    <w:p>
      <w:r>
        <w:rPr>
          <w:color w:val="555555"/>
          <w:sz w:val="18"/>
        </w:rPr>
        <w:t xml:space="preserve">Bayerisches Beauftragtengesetz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Beauftragten erhalten für ihre Tätigkeit eine Amtsentschädigung in Höhe von 2 000 € monatlich. Die Tätigkeit der Beauftragten ist im Übrigen ehrenamtlich.</w:t>
      </w:r>
    </w:p>
    <w:p>
      <w:r>
        <w:t xml:space="preserve">(2) Für jeden Beauftragten wird bei dem Geschäftsbereich, dem der Beauftragte auf Grund des Art. 1 Abs. 2 Satz 2 zugewiesen ist, eine finanziell und personell angemessene und auf das Notwendige beschränkte Geschäftsstelle eingerichtet.</w:t>
      </w:r>
    </w:p>
    <w:p>
      <w:r>
        <w:rPr>
          <w:color w:val="555555"/>
          <w:sz w:val="17"/>
        </w:rPr>
        <w:t xml:space="preserve">Zitiervorschlag: Art 3 BayBeauftrG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https://recht.nulegal.eu/gesetze/BayBeauftrG/3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