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99 BayBeamtVG (Bayern) — Dokumentationspflichten und Zahlungsmodalitäten</w:t>
      </w:r>
    </w:p>
    <w:p>
      <w:r>
        <w:rPr>
          <w:color w:val="555555"/>
          <w:sz w:val="18"/>
        </w:rPr>
        <w:t xml:space="preserve">Bayerisches Beamtenversorgungsgesetz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zahlungspflichtige Dienstherr hat die Berechnung des Zahlungsbetrags durchzuführen und dem berechtigten Dienstherrn gegenüber nachzuweisen.</w:t>
      </w:r>
    </w:p>
    <w:p>
      <w:r>
        <w:t xml:space="preserve">(2) Die Abfindung ist innerhalb von sechs Monaten nach Aufnahme beim neuen Dienstherrn zu leisten. In Fällen des Art. 95 Abs. 3 beginnt die Frist nach Mitteilung der Aufnahme durch den neuen Dienstherrn.</w:t>
      </w:r>
    </w:p>
    <w:p>
      <w:r>
        <w:t xml:space="preserve">(3) Die beteiligten Dienstherren können abweichende Zahlungsregelungen vereinbaren.</w:t>
      </w:r>
    </w:p>
    <w:p>
      <w:r>
        <w:t xml:space="preserve">(4) Die Abwicklung kann auf andere Stellen übertragen werden.</w:t>
      </w:r>
    </w:p>
    <w:p>
      <w:r>
        <w:rPr>
          <w:color w:val="555555"/>
          <w:sz w:val="17"/>
        </w:rPr>
        <w:t xml:space="preserve">Zitiervorschlag: Art 99 BayBeamtVG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https://recht.nulegal.eu/gesetze/BayBeamtVG/99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