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BayBeamtVG (Bayern) — Weitere Zahlungsansprüche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Liegt ein Dienstherrenwechsel ohne die Voraussetzungen des Art. 95 vor und hat der abgebende Dienstherr auf Grund eines früheren Dienstherrenwechsels eine Abfindung nach diesem Gesetz oder nach dem Versorgungslastenteilungs-Staatsvertrag erhalten, so hat er diesen Betrag zuzüglich Zinsen in Höhe von 4,5 v.H. pro Jahr ab dem Zeitpunkt des Erhalts der Zahlung an den aufnehmenden Dienstherrn zu bezahlen, wenn nicht bereits eine Nachversicherung durchgeführt wurde.</w:t>
      </w:r>
    </w:p>
    <w:p>
      <w:r>
        <w:t xml:space="preserve">(2) Hat der aufnehmende Dienstherr auf Grund eines Dienstherrenwechsels eine Abfindung erhalten und scheidet die wechselnde Person beim aufnehmenden Dienstherrn ohne Versorgungsansprüche aus, hat der aufnehmende Dienstherr dem abgebenden Dienstherrn die Kosten einer Nachversicherung zu erstatten oder im Fall eines bestehenden Versorgungsanspruchs gegenüber dem abgebenden Dienstherrn die erhaltene Abfindung zuzüglich Zinsen in Höhe von 4,5 v.H. pro Jahr ab dem Zeitpunkt des Erhalts der Zahlung an diesen zurückzuzahlen.</w:t>
      </w:r>
    </w:p>
    <w:p>
      <w:r>
        <w:rPr>
          <w:color w:val="555555"/>
          <w:sz w:val="17"/>
        </w:rPr>
        <w:t xml:space="preserve">Zitiervorschlag: Art 98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