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BayBeamtVG (Bayern) — Abfindung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Versorgungslastenteilung erfolgt durch Zahlung einer Abfindung.</w:t>
      </w:r>
    </w:p>
    <w:p>
      <w:r>
        <w:t xml:space="preserve">(2) Die Höhe der Abfindung entspricht dem Produkt aus den Bezügen (Art. 97 Abs. 1), den in vollen Monaten ausgedrückten Dienstzeiten (Art. 97 Abs. 2) und einem Bemessungssatz. Der Bemessungssatz ist vom Lebensalter der wechselnden Person zum Zeitpunkt des Ausscheidens beim abgebenden Dienstherrn abhängig und beträgt</w:t>
      </w:r>
    </w:p>
    <w:p>
      <w:r>
        <w:t xml:space="preserve">1.</w:t>
      </w:r>
    </w:p>
    <w:p>
      <w:r>
        <w:t xml:space="preserve">bis Vollendung des 30. Lebensjahres</w:t>
      </w:r>
    </w:p>
    <w:p>
      <w:r>
        <w:t xml:space="preserve">15 v.H.,</w:t>
      </w:r>
    </w:p>
    <w:p>
      <w:r>
        <w:t xml:space="preserve">2.</w:t>
      </w:r>
    </w:p>
    <w:p>
      <w:r>
        <w:t xml:space="preserve">bis Vollendung des 50. Lebensjahres</w:t>
      </w:r>
    </w:p>
    <w:p>
      <w:r>
        <w:t xml:space="preserve">20 v.H.,</w:t>
      </w:r>
    </w:p>
    <w:p>
      <w:r>
        <w:t xml:space="preserve">3.</w:t>
      </w:r>
    </w:p>
    <w:p>
      <w:r>
        <w:t xml:space="preserve">nach Vollendung des 50. Lebensjahres</w:t>
      </w:r>
    </w:p>
    <w:p>
      <w:r>
        <w:t xml:space="preserve">25 v.H.</w:t>
      </w:r>
    </w:p>
    <w:p>
      <w:r>
        <w:t xml:space="preserve">(3) Maßgebend sind die Verhältnisse zum Zeitpunkt des Ausscheidens; Nachberechnungen finden nicht statt.</w:t>
      </w:r>
    </w:p>
    <w:p>
      <w:r>
        <w:t xml:space="preserve">(4) Bei Beamten und Beamtinnen auf Zeit, die nach Ablauf ihrer beim abgebenden Dienstherrn begründeten Dienst- und Amtszeit nicht in den Ruhestand getreten wären, ist eine Abfindung in Höhe der Kosten zu zahlen, die im Fall des Ausscheidens zum Zeitpunkt des Dienstherrenwechsels für eine Nachversicherung der bei ihm zurückgelegten Zeiten in der gesetzlichen Rentenversicherung angefallen wären. Hat der abgebende Dienstherr auf Grund eines früheren Dienstherrenwechsels eine Abfindung nach diesem Gesetz oder nach dem Versorgungslastenteilungs-Staatsvertrag erhalten, so hat er neben der Abfindung nach Satz 1 diesen Betrag zuzüglich Zinsen in Höhe von 4,5 v.H. pro Jahr ab dem Zeitpunkt des Erhalts der Zahlung an den aufnehmenden Dienstherrn zu bezahlen.</w:t>
      </w:r>
    </w:p>
    <w:p>
      <w:r>
        <w:rPr>
          <w:color w:val="555555"/>
          <w:sz w:val="17"/>
        </w:rPr>
        <w:t xml:space="preserve">Zitiervorschlag: Art 96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