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87 BayBeamtVG (Bayern) — Zusammentreffen von Versorgungsbezügen mit Entschädigung oder Versorgungsbezügen nach dem Abgeordnetenstatut des Europäischen Parlaments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Beziehen Versorgungsberechtigte eine Entschädigung nach Art. 10 des Beschlusses 2005/684/EG, so werden die Versorgungsbezüge um 50 v.H., jedoch höchstens um 50 v.H. der Entschädigung gekürzt.</w:t>
      </w:r>
    </w:p>
    <w:p>
      <w:r>
        <w:t xml:space="preserve">(2) Beziehen Versorgungsberechtigte Versorgungsbezüge nach Art. 14, 15 und 17 des Beschlusses 2005/684/EG, ruhen die Versorgungsbezüge um 50 v.H. des Betrags, um den sie und die Versorgungsbezüge nach dem Beschluss 2005/684 EG die Entschädigung nach Art. 10 des Abgeordnetenstatuts übersteigen. Das Übergangsgeld nach Art. 13 des Beschlusses 2005/684/EG zählt zu den Versorgungsbezügen.</w:t>
      </w:r>
    </w:p>
    <w:p>
      <w:r>
        <w:rPr>
          <w:color w:val="555555"/>
          <w:sz w:val="17"/>
        </w:rPr>
        <w:t xml:space="preserve">Zitiervorschlag: Art 87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https://recht.nulegal.eu/gesetze/BayBeamtVG/87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