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75 BayBeamtVG (Bayern) — Anspruch und Bestandteile</w:t>
      </w:r>
    </w:p>
    <w:p>
      <w:r>
        <w:rPr>
          <w:color w:val="555555"/>
          <w:sz w:val="18"/>
        </w:rPr>
        <w:t xml:space="preserve">Bayerisches Beamtenversorgungsgesetz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Versorgungsberechtigte mit laufenden Versorgungsbezügen erhalten eine jährliche Sonderzahlung. Sie besteht aus einem Grundbetrag (Art. 76) und einem Sonderbetrag für Kinder (Art. 77).</w:t>
      </w:r>
    </w:p>
    <w:p>
      <w:r>
        <w:rPr>
          <w:color w:val="555555"/>
          <w:sz w:val="17"/>
        </w:rPr>
        <w:t xml:space="preserve">Zitiervorschlag: Art 75 BayBeamtVG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https://recht.nulegal.eu/gesetze/BayBeamtVG/75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