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BayBeamtVG (Bayern) — Zahlungsweise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Versorgungsbezüge werden, soweit nichts anderes bestimmt ist, monatlich im Voraus gezahlt. Besteht der Anspruch auf Versorgung nicht für einen vollen Kalendermonat, so wird nur der Teil der Bezüge gezahlt, der auf den Anspruchszeitraum entfällt, soweit gesetzlich nichts anderes bestimmt ist.</w:t>
      </w:r>
    </w:p>
    <w:p>
      <w:r>
        <w:t xml:space="preserve">(2) Werden Versorgungsbezüge nach dem Tag der Fälligkeit gezahlt, so besteht kein Anspruch auf Verzugszinsen.</w:t>
      </w:r>
    </w:p>
    <w:p>
      <w:r>
        <w:t xml:space="preserve">(3) Haben Versorgungsberechtigte ihren Wohnsitz oder dauernden Aufenthalt außerhalb der Europäischen Union, so kann die Pensionsbehörde die Zahlung der Versorgungsbezüge von der Bestellung eines oder einer Empfangsbevollmächtigten im Geltungsbereich dieses Gesetzes abhängig machen.</w:t>
      </w:r>
    </w:p>
    <w:p>
      <w:r>
        <w:t xml:space="preserve">(4) Für die Zahlung der Versorgungsbezüge haben Versorgungsberechtigte auf Verlangen der Pensionsbehörde ein Konto anzugeben oder einzurichten, auf das die Überweisung erfolgen kann. Die Kontoeinrichtungs-, Kontoführungs- oder Buchungsgebühren tragen die Versorgungsberechtigten. Die Übermittlungskosten mit Ausnahme der Kosten für die Gutschrift auf dem Konto der Versorgungsberechtigten trägt die Pensionsbehörde; bei einer Überweisung der Versorgungsbezüge auf ein außerhalb des einheitlichen Euro-Zahlungsverkehrsraums Single Euro Payment Area (SEPA) geführtes Konto tragen die Versorgungsberechtigten die Kosten und die Gefahr der Übermittlung der Versorgungsbezüge sowie die Kosten einer Meldung nach § 67 der Außenwirtschaftsverordnung. Eine Auszahlung auf andere Weise kann nur zugestanden werden, wenn den Versorgungsberechtigten die Einrichtung oder Benutzung eines Kontos aus wichtigem Grund nicht zugemutet werden kann.</w:t>
      </w:r>
    </w:p>
    <w:p>
      <w:r>
        <w:t xml:space="preserve">(5) Bei der Berechnung von Versorgungsbezügen sind die sich ergebenden Bruchteile eines Cents unter 0,5 abzurunden und ab 0,5 aufzurunden. Zwischenrechnungen werden jeweils auf zwei Dezimalstellen durchgeführt. Jeder Versorgungsbestandteil ist einzeln zu runden.</w:t>
      </w:r>
    </w:p>
    <w:p>
      <w:r>
        <w:rPr>
          <w:color w:val="555555"/>
          <w:sz w:val="17"/>
        </w:rPr>
        <w:t xml:space="preserve">Zitiervorschlag: Art 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