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BayBeamtVG (Bayern) — Meldung und Untersuchungsverfahren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Unfälle, aus denen Unfallfürsorgeansprüche nach diesem Gesetz entstehen können, sind dem oder der Dienstvorgesetzten innerhalb einer Ausschlussfrist von zwei Jahren nach dem Eintritt des Unfalls schriftlich zu melden. Die Frist nach Satz 1 gilt auch dann als gewahrt, wenn der Unfall bei der Pensionsbehörde gemeldet worden ist.</w:t>
      </w:r>
    </w:p>
    <w:p>
      <w:r>
        <w:t xml:space="preserve">(2) Nach Ablauf der Ausschlussfrist wird Unfallfürsorge nur gewährt, wenn seit dem Unfall noch nicht zehn Jahre vergangen sind und glaubhaft gemacht wird, dass mit der Möglichkeit eines Körperschadens oder einer Erkrankung auf Grund des Unfallereignisses nicht habe gerechnet werden können oder dass der oder die Berechtigte durch außerhalb seines oder ihres Willens liegende Umstände gehindert war, den Unfall zu melden. Die Meldung muss, nachdem mit der Möglichkeit eines Körperschadens oder einer Erkrankung gerechnet werden konnte oder das Hindernis für die Meldung weggefallen ist, innerhalb von drei Monaten erfolgen. Die Unfallfürsorge wird in diesen Fällen vom Tage der Meldung an gewährt; zur Vermeidung von Härten kann sie auch von einem früheren Zeitpunkt an gewährt werden.</w:t>
      </w:r>
    </w:p>
    <w:p>
      <w:r>
        <w:t xml:space="preserve">(3) Der oder die Dienstvorgesetzte hat jeden Unfall, der ihm oder ihr gemeldet oder von Amts wegen bekannt wird, sofort zu untersuchen. Über das Ergebnis ist eine Niederschrift zu fertigen und an die Pensionsbehörde weiterzugeben. Die Pensionsbehörde entscheidet über die Anerkennung als Dienstunfall und die Gewährung der Unfallfürsorge.</w:t>
      </w:r>
    </w:p>
    <w:p>
      <w:r>
        <w:t xml:space="preserve">(4) Unfallfürsorge nach Art. 45 Abs. 1 Satz 2 wird nur gewährt, wenn der Unfall der Beamtin innerhalb der Fristen nach den Abs. 1 und 2 gemeldet und als Dienstunfall anerkannt worden ist. Der Anspruch auf Unfallfürsorge nach Art. 45 Abs. 2 Satz 2 ist innerhalb von zwei Jahren vom Tag der Geburt an von den Sorgeberechtigten geltend zu machen. Abs. 2 gilt mit der Maßgabe, dass die Zehnjahresfrist am Tag der Geburt zu laufen beginnt. Der Antrag muss, nachdem mit der Möglichkeit einer Schädigung durch einen Dienstunfall der Mutter während der Schwangerschaft gerechnet werden konnte oder das Hindernis für den Antrag weggefallen ist, innerhalb von drei Monaten gestellt werden.</w:t>
      </w:r>
    </w:p>
    <w:p>
      <w:r>
        <w:rPr>
          <w:color w:val="555555"/>
          <w:sz w:val="17"/>
        </w:rPr>
        <w:t xml:space="preserve">Zitiervorschlag: Art 47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