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BayBeamtVG (Bayern) — Allgemeine Anpassung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die Besoldung nach Art. 16 des Bayerischen Besoldungsgesetzes (BayBesG) angepasst, sind von demselben Zeitpunkt an die Versorgungsbezüge durch Gesetz entsprechend zu regeln.</w:t>
      </w:r>
    </w:p>
    <w:p>
      <w:r>
        <w:t xml:space="preserve">(2) Als Anpassung gilt auch die Neufassung der Grundgehaltstabelle mit unterschiedlicher Änderung der Grundgehaltssätze und die allgemeine Erhöhung oder Verminderung der Besoldung um feste Beträge.</w:t>
      </w:r>
    </w:p>
    <w:p>
      <w:r>
        <w:rPr>
          <w:color w:val="555555"/>
          <w:sz w:val="17"/>
        </w:rPr>
        <w:t xml:space="preserve">Zitiervorschlag: Art 4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