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37 BayBeamtVG (Bayern) — Witwenabfindung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 Witwer oder eine Witwe mit Anspruch auf Witwengeld oder auf einen Unterhaltsbeitrag erhält im Fall einer Wiederverheiratung eine Witwenabfindung.</w:t>
      </w:r>
    </w:p>
    <w:p>
      <w:r>
        <w:t xml:space="preserve">(2) Die Witwenabfindung beträgt das Vierundzwanzigfache des Betrags, der in den letzten zwölf Monaten vor Wiederverheiratung nach Anwendung der Anrechnungs-, Kürzungs- und Ruhensvorschriften durchschnittlich monatlich bezahlt wurde; bestand der Anspruch auf Witwengeld oder auf Unterhaltsbeitrag für einen kürzeren Zeitraum, ist dieser Zeitraum zugrunde zu legen.</w:t>
      </w:r>
    </w:p>
    <w:p>
      <w:r>
        <w:rPr>
          <w:color w:val="555555"/>
          <w:sz w:val="17"/>
        </w:rPr>
        <w:t xml:space="preserve">Zitiervorschlag: Art 37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