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BayBeamtVG (Bayern) — Allgemeines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Hinterbliebenenversorgung umfasst</w:t>
      </w:r>
    </w:p>
    <w:p>
      <w:r>
        <w:t xml:space="preserve">1. Bezüge für den Sterbemonat (Art. 32),</w:t>
      </w:r>
    </w:p>
    <w:p>
      <w:r>
        <w:t xml:space="preserve">2. Sterbegeld (Art. 33),</w:t>
      </w:r>
    </w:p>
    <w:p>
      <w:r>
        <w:t xml:space="preserve">3. Witwengeld (Art. 35),</w:t>
      </w:r>
    </w:p>
    <w:p>
      <w:r>
        <w:t xml:space="preserve">4. Witwenabfindung (Art. 37),</w:t>
      </w:r>
    </w:p>
    <w:p>
      <w:r>
        <w:t xml:space="preserve">5. Waisengeld (Art. 39),</w:t>
      </w:r>
    </w:p>
    <w:p>
      <w:r>
        <w:t xml:space="preserve">6. Unterhaltsbeiträge (Art. 38, 39 Abs. 2 Satz 2, Art. 42).</w:t>
      </w:r>
    </w:p>
    <w:p>
      <w:r>
        <w:rPr>
          <w:color w:val="555555"/>
          <w:sz w:val="17"/>
        </w:rPr>
        <w:t xml:space="preserve">Zitiervorschlag: Art 31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