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BayBeamtVG (Bayern) — Ausbildungszeiten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Mindestzeit</w:t>
      </w:r>
    </w:p>
    <w:p>
      <w:r>
        <w:t xml:space="preserve">1. der vorgeschriebenen Ausbildung (insbesondere Fachschul-, Hochschul- und praktische Ausbildung, Vorbereitungsdienst, übliche Prüfungszeit),</w:t>
      </w:r>
    </w:p>
    <w:p>
      <w:r>
        <w:t xml:space="preserve">2. einer praktischen hauptberuflichen Tätigkeit, die für die Übernahme in das Beamtenverhältnis vorgeschrieben ist,</w:t>
      </w:r>
    </w:p>
    <w:p>
      <w:r>
        <w:t xml:space="preserve">kann als ruhegehaltfähige Dienstzeit berücksichtigt werden, die Regelstudienzeit einer Fachschul- oder Hochschulausbildung einschließlich der Prüfungszeit bis zu drei Jahren.</w:t>
      </w:r>
    </w:p>
    <w:p>
      <w:r>
        <w:t xml:space="preserve">(2) Für Beamte und Beamtinnen des Vollzugsdienstes und des Einsatzdienstes der Feuerwehr können Zeiten einer praktischen Ausbildung und einer praktischen hauptberuflichen Tätigkeit anstelle einer Berücksichtigung nach Abs. 1 bis zu einer Gesamtzeit von fünf Jahren als ruhegehaltfähige Dienstzeit berücksichtigt werden, wenn sie für die Wahrnehmung des Amtes förderlich sind.</w:t>
      </w:r>
    </w:p>
    <w:p>
      <w:r>
        <w:t xml:space="preserve">(3) Die allgemeine Schulbildung zählt nicht zur vorgeschriebenen Ausbildung, auch dann nicht, wenn sie durch eine andere Art der Ausbildung ersetzt wurde.</w:t>
      </w:r>
    </w:p>
    <w:p>
      <w:r>
        <w:t xml:space="preserve">(4) Bei anderen als Regelbewerbern und Regelbewerberinnen können Zeiten nach Abs. 1 als ruhegehaltfähig berücksichtigt werden, soweit sie für Regelbewerber und Regelbewerberinnen vorgeschrieben sind. Ist eine Fachlaufbahn des ausgeübten Amtes bei einem Dienstherrn noch nicht gestaltet, so gilt das Gleiche für solche Zeiten, die bei Gestaltung der Fachlaufbahn mindestens vorgeschrieben werden müssen.</w:t>
      </w:r>
    </w:p>
    <w:p>
      <w:r>
        <w:rPr>
          <w:color w:val="555555"/>
          <w:sz w:val="17"/>
        </w:rPr>
        <w:t xml:space="preserve">Zitiervorschlag: Art 20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