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BayBeamtVG (Bayern) — Sonstige Zeiten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Zeit, während der ein Beamter oder eine Beamtin</w:t>
      </w:r>
    </w:p>
    <w:p>
      <w:r>
        <w:t xml:space="preserve">1. a) als Rechtsanwalt, Rechtsanwältin oder als Beamter, Beamtin oder Notar, Notarin, der oder die ohne Ruhegehaltsberechtigung nur Gebühren bezogen hat, oder</w:t>
      </w:r>
    </w:p>
    <w:p>
      <w:r>
        <w:t xml:space="preserve">b) hauptberuflich im Dienst öffentlich-rechtlicher Religionsgesellschaften oder ihrer Verbände (Art. 140 des Grundgesetzes) oder im öffentlichen oder nichtöffentlichen Schuldienst oder</w:t>
      </w:r>
    </w:p>
    <w:p>
      <w:r>
        <w:t xml:space="preserve">c) hauptberuflich im Dienst der Fraktionen des Bundestags oder der Landtage oder kommunaler Vertretungskörperschaften oder</w:t>
      </w:r>
    </w:p>
    <w:p>
      <w:r>
        <w:t xml:space="preserve">d) hauptberuflich im Dienst von kommunalen Spitzenverbänden oder ihren Landesverbänden sowie von Spitzenverbänden der Sozialversicherung oder ihren Landesverbänden</w:t>
      </w:r>
    </w:p>
    <w:p>
      <w:r>
        <w:t xml:space="preserve">tätig gewesen ist oder</w:t>
      </w:r>
    </w:p>
    <w:p>
      <w:r>
        <w:t xml:space="preserve">2. hauptberuflich im ausländischen öffentlichen Dienst gestanden hat oder</w:t>
      </w:r>
    </w:p>
    <w:p>
      <w:r>
        <w:t xml:space="preserve">3. a) auf wissenschaftlichem, künstlerischem, technischem oder wirtschaftlichem Gebiet besondere Fachkenntnisse erworben hat, die die notwendige Voraussetzung für die Wahrnehmung des Amtes bilden, oder</w:t>
      </w:r>
    </w:p>
    <w:p>
      <w:r>
        <w:t xml:space="preserve">b) als Entwicklungshelfer oder Entwicklungshelferin im Sinn des Entwicklungshelfer-Gesetzes tätig gewesen ist,</w:t>
      </w:r>
    </w:p>
    <w:p>
      <w:r>
        <w:t xml:space="preserve">kann als ruhegehaltfähige Dienstzeit berücksichtigt werden, die Zeit nach Nr. 1 Buchst. a und Nr. 3 jedoch höchstens bis zur Hälfte und in der Regel nicht über zehn Jahre hinaus.</w:t>
      </w:r>
    </w:p>
    <w:p>
      <w:r>
        <w:rPr>
          <w:color w:val="555555"/>
          <w:sz w:val="17"/>
        </w:rPr>
        <w:t xml:space="preserve">Zitiervorschlag: Art 19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