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BayBeamtVG (Bayern) — Zeiten im privatrechtlichen Arbeitsverhältnis im öffentlichen Dienst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ruhegehaltfähig sollen auch folgende Zeiten berücksichtigt werden, in denen ein Beamter oder eine Beamtin im privatrechtlichen Arbeitsverhältnis im Dienst eines öffentlich-rechtlichen Dienstherrn ohne von dem Beamten oder der Beamtin zu vertretende Unterbrechung tätig war, sofern diese Tätigkeit zur Ernennung geführt hat:</w:t>
      </w:r>
    </w:p>
    <w:p>
      <w:r>
        <w:t xml:space="preserve">1. Zeiten einer hauptberuflichen in der Regel einem Beamten oder einer Beamtin obliegenden oder später einem Beamten oder einer Beamtin übertragenen entgeltlichen Beschäftigung oder</w:t>
      </w:r>
    </w:p>
    <w:p>
      <w:r>
        <w:t xml:space="preserve">2. Zeiten einer für die Fachlaufbahn des Beamten oder der Beamtin förderlichen Tätigkeit.</w:t>
      </w:r>
    </w:p>
    <w:p>
      <w:r>
        <w:t xml:space="preserve">Das gilt auch für eine Tätigkeit im Dienst von Einrichtungen, die von mehreren öffentlich-rechtlichen Dienstherren durch Staatsvertrag oder Verwaltungsabkommen zur Erfüllung oder Koordinierung ihnen obliegender hoheitsrechtlicher Aufgaben geschaffen worden sind.</w:t>
      </w:r>
    </w:p>
    <w:p>
      <w:r>
        <w:rPr>
          <w:color w:val="555555"/>
          <w:sz w:val="17"/>
        </w:rPr>
        <w:t xml:space="preserve">Zitiervorschlag: Art 18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