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BayBeamtVG (Bayern) — Erhöhung der ruhegehaltfähigen Dienstzeit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ruhegehaltfähige Dienstzeit nach Art. 14 erhöht sich um die Zeit, die ein Ruhestandsbeamter oder eine Ruhestandsbeamtin</w:t>
      </w:r>
    </w:p>
    <w:p>
      <w:r>
        <w:t xml:space="preserve">1. in einer die Arbeitskraft voll beanspruchenden entgeltlichen Beschäftigung im Beamtenverhältnis, im Berufssoldatenverhältnis oder in einem Amtsverhältnis im Sinn des Art. 14 Abs. 4 Nr. 1 bis 3 zurückgelegt hat, ohne einen neuen Versorgungsanspruch zu erlangen,</w:t>
      </w:r>
    </w:p>
    <w:p>
      <w:r>
        <w:t xml:space="preserve">2. in einer Tätigkeit im Sinn des Art. 14 Abs. 4 Nr. 5 zurückgelegt hat.</w:t>
      </w:r>
    </w:p>
    <w:p>
      <w:r>
        <w:t xml:space="preserve">Art. 14 Abs. 1 Satz 2 Nr. 4 bis 6, Abs. 2 und 3 gilt entsprechend, soweit nichts anderes bestimmt ist.</w:t>
      </w:r>
    </w:p>
    <w:p>
      <w:r>
        <w:rPr>
          <w:color w:val="555555"/>
          <w:sz w:val="17"/>
        </w:rPr>
        <w:t xml:space="preserve">Zitiervorschlag: Art 15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