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118 BayBeamtVG (Bayern) — Inkrafttreten, Außerkrafttreten</w:t>
      </w:r>
    </w:p>
    <w:p>
      <w:r>
        <w:rPr>
          <w:color w:val="555555"/>
          <w:sz w:val="18"/>
        </w:rPr>
        <w:t xml:space="preserve">Bayerisches Beamtenversorgungsgesetz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trat am 1. Januar 2011 in Kraft und wurde als § 2 des Gesetzes zum Neuen Dienstrecht in Bayern vom 5. August 2010 (GVBl. S. 410) verkündet. Abweichend von Satz 1 traten Art. 9 Abs. 2 Satz 1 und Art. 50 Abs. 4 dieses Gesetzes am 1. November 2010 in Kraft.</w:t>
      </w:r>
    </w:p>
    <w:p>
      <w:r>
        <w:t xml:space="preserve">(2) Art. 114g Abs. 3 und 4 tritt mit Ablauf des 31. Dezember 2026 außer Kraft.</w:t>
      </w:r>
    </w:p>
    <w:p>
      <w:r>
        <w:rPr>
          <w:color w:val="555555"/>
          <w:sz w:val="17"/>
        </w:rPr>
        <w:t xml:space="preserve">Zitiervorschlag: Art 118 BayBeamtVG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https://recht.nulegal.eu/gesetze/BayBeamtVG/118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