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BayBeamtVG (Bayern) — Entstehen und Berechnung des Ruhegehalts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Ruhegehalt wird nur gewährt, wenn der Beamte oder die Beamtin</w:t>
      </w:r>
    </w:p>
    <w:p>
      <w:r>
        <w:t xml:space="preserve">1. eine Dienstzeit von mindestens fünf Jahren abgeleistet hat oder</w:t>
      </w:r>
    </w:p>
    <w:p>
      <w:r>
        <w:t xml:space="preserve">2. infolge Krankheit, Verwundung oder sonstiger Beschädigung, die er oder sie sich ohne grobes Verschulden bei Ausübung oder aus Veranlassung des Dienstes zugezogen hat, dienstunfähig geworden ist (Dienstbeschädigung).</w:t>
      </w:r>
    </w:p>
    <w:p>
      <w:r>
        <w:t xml:space="preserve">Die Dienstzeit wird vom Zeitpunkt der ersten Berufung in das Beamtenverhältnis ab gerechnet und nur berücksichtigt, sofern sie ruhegehaltfähig ist. Zeiten, die kraft gesetzlicher Vorschrift als ruhegehaltfähig gelten oder nach Art. 18 als ruhegehaltfähige Dienstzeit berücksichtigt werden, sind einzurechnen. Satz 3 gilt nicht für Zeiten, die der Beamte oder die Beamtin vor dem 3. Oktober 1990 in dem in Art. 3 des Einigungsvertrags genannten Gebiet zurückgelegt hat.</w:t>
      </w:r>
    </w:p>
    <w:p>
      <w:r>
        <w:t xml:space="preserve">(2) Der Anspruch auf Ruhegehalt entsteht mit dem Beginn des Ruhestands. Bei Beamten und Beamtinnen auf Zeit ruht der Anspruch bis zum Ende des Monats, in dem die Altersgrenze nach Art. 62, 143 des Bayerischen Beamtengesetzes (BayBG) erreicht oder die Dienstunfähigkeit festgestellt wird. Satz 2 gilt nicht für den Präsidenten des Bayerischen Obersten Rechnungshofs.</w:t>
      </w:r>
    </w:p>
    <w:p>
      <w:r>
        <w:t xml:space="preserve">(3) Das Ruhegehalt wird auf der Grundlage der ruhegehaltfähigen Bezüge und der ruhegehaltfähigen Dienstzeit berechnet.</w:t>
      </w:r>
    </w:p>
    <w:p>
      <w:r>
        <w:rPr>
          <w:color w:val="555555"/>
          <w:sz w:val="17"/>
        </w:rPr>
        <w:t xml:space="preserve">Zitiervorschlag: Art 11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